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F3398C" w14:textId="77777777" w:rsidR="00BA3E18" w:rsidRPr="00E80E13" w:rsidRDefault="00BA3E18" w:rsidP="00BA3E18">
      <w:pPr>
        <w:pStyle w:val="TSP52figure"/>
        <w:rPr>
          <w:rFonts w:ascii="Times New Roman" w:hAnsi="Times New Roman"/>
          <w:sz w:val="22"/>
          <w:szCs w:val="22"/>
          <w:highlight w:val="white"/>
        </w:rPr>
      </w:pPr>
      <w:r w:rsidRPr="00E80E13">
        <w:rPr>
          <w:lang w:val="ru-RU"/>
        </w:rPr>
        <w:drawing>
          <wp:inline distT="0" distB="0" distL="0" distR="0" wp14:anchorId="4C0A54CD" wp14:editId="43642A64">
            <wp:extent cx="5944870" cy="3930650"/>
            <wp:effectExtent l="0" t="0" r="0" b="0"/>
            <wp:docPr id="7599615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3776A" w14:textId="40205C6E" w:rsidR="00BA3E18" w:rsidRPr="00E80E13" w:rsidRDefault="00BA3E18" w:rsidP="00BA3E18">
      <w:pPr>
        <w:pStyle w:val="TSP51figurecaption"/>
        <w:rPr>
          <w:rFonts w:eastAsiaTheme="minorEastAsia"/>
          <w:highlight w:val="white"/>
        </w:rPr>
      </w:pPr>
      <w:r w:rsidRPr="00BA3E18">
        <w:rPr>
          <w:b/>
          <w:bCs/>
          <w:color w:val="auto"/>
          <w:highlight w:val="white"/>
        </w:rPr>
        <w:t>Supplementary</w:t>
      </w:r>
      <w:r w:rsidRPr="00BA3E18">
        <w:rPr>
          <w:b/>
          <w:bCs/>
          <w:color w:val="auto"/>
          <w:highlight w:val="white"/>
        </w:rPr>
        <w:t xml:space="preserve"> </w:t>
      </w:r>
      <w:r w:rsidRPr="00BA3E18">
        <w:rPr>
          <w:b/>
          <w:bCs/>
          <w:color w:val="auto"/>
          <w:highlight w:val="white"/>
        </w:rPr>
        <w:t>Figure</w:t>
      </w:r>
      <w:r w:rsidRPr="00BA3E18">
        <w:rPr>
          <w:b/>
          <w:bCs/>
          <w:highlight w:val="white"/>
        </w:rPr>
        <w:t xml:space="preserve"> S1: </w:t>
      </w:r>
      <w:r w:rsidRPr="00BA3E18">
        <w:rPr>
          <w:highlight w:val="white"/>
        </w:rPr>
        <w:t>Br</w:t>
      </w:r>
      <w:r w:rsidRPr="00E80E13">
        <w:rPr>
          <w:highlight w:val="white"/>
        </w:rPr>
        <w:t xml:space="preserve">ain GSEA results visualization with Cytoscape. All 1659 GO BP terms passing FDR &lt; 0.05 were left and colored by </w:t>
      </w:r>
      <w:r>
        <w:rPr>
          <w:highlight w:val="white"/>
        </w:rPr>
        <w:t>−</w:t>
      </w:r>
      <w:r w:rsidRPr="00E80E13">
        <w:rPr>
          <w:highlight w:val="white"/>
        </w:rPr>
        <w:t>log10(</w:t>
      </w:r>
      <w:r w:rsidRPr="00E80E13">
        <w:rPr>
          <w:rFonts w:eastAsiaTheme="minorEastAsia"/>
          <w:i/>
          <w:iCs/>
          <w:highlight w:val="white"/>
        </w:rPr>
        <w:t>p</w:t>
      </w:r>
      <w:r w:rsidRPr="00E80E13">
        <w:rPr>
          <w:highlight w:val="white"/>
        </w:rPr>
        <w:t xml:space="preserve">-value) with the sign of the NES (blue for the negative enrichments, </w:t>
      </w:r>
      <w:r w:rsidRPr="00BA3E18">
        <w:rPr>
          <w:highlight w:val="white"/>
        </w:rPr>
        <w:t>i.e.,</w:t>
      </w:r>
      <w:r w:rsidRPr="00E80E13">
        <w:rPr>
          <w:highlight w:val="white"/>
        </w:rPr>
        <w:t xml:space="preserve"> genes with log2FC &lt; 0, and orange for positive). GO BP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Gene Ontology Biological Process</w:t>
      </w:r>
      <w:r w:rsidRPr="00E80E13">
        <w:rPr>
          <w:rFonts w:eastAsiaTheme="minorEastAsia" w:hint="eastAsia"/>
          <w:highlight w:val="white"/>
        </w:rPr>
        <w:t>;</w:t>
      </w:r>
      <w:r w:rsidRPr="00E80E13">
        <w:rPr>
          <w:highlight w:val="white"/>
        </w:rPr>
        <w:t xml:space="preserve"> NES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Normalized Enrichment Score</w:t>
      </w:r>
      <w:r w:rsidRPr="00E80E13">
        <w:rPr>
          <w:rFonts w:eastAsiaTheme="minorEastAsia" w:hint="eastAsia"/>
          <w:highlight w:val="white"/>
        </w:rPr>
        <w:t>;</w:t>
      </w:r>
      <w:r w:rsidRPr="00E80E13">
        <w:rPr>
          <w:highlight w:val="white"/>
        </w:rPr>
        <w:t xml:space="preserve"> FDR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False Discovery Rate; FC: Fold Change</w:t>
      </w:r>
      <w:r>
        <w:rPr>
          <w:highlight w:val="white"/>
        </w:rPr>
        <w:t>.</w:t>
      </w:r>
    </w:p>
    <w:p w14:paraId="01390942" w14:textId="77777777" w:rsidR="00BA3E18" w:rsidRPr="00E80E13" w:rsidRDefault="00BA3E18" w:rsidP="00BA3E18">
      <w:pPr>
        <w:pStyle w:val="TSP52figure"/>
        <w:rPr>
          <w:rFonts w:ascii="Times New Roman" w:hAnsi="Times New Roman"/>
          <w:sz w:val="22"/>
          <w:szCs w:val="22"/>
          <w:highlight w:val="white"/>
        </w:rPr>
      </w:pPr>
      <w:r w:rsidRPr="00E80E13">
        <w:rPr>
          <w:lang w:val="ru-RU"/>
        </w:rPr>
        <w:lastRenderedPageBreak/>
        <w:drawing>
          <wp:inline distT="0" distB="0" distL="0" distR="0" wp14:anchorId="74BB2A12" wp14:editId="4B49FC62">
            <wp:extent cx="5944870" cy="3945255"/>
            <wp:effectExtent l="0" t="0" r="0" b="0"/>
            <wp:docPr id="17930125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4E440" w14:textId="6F7E2BD7" w:rsidR="00BA3E18" w:rsidRPr="00E80E13" w:rsidRDefault="00BA3E18" w:rsidP="00BA3E18">
      <w:pPr>
        <w:pStyle w:val="TSP51figurecaption"/>
        <w:rPr>
          <w:rFonts w:eastAsiaTheme="minorEastAsia"/>
          <w:highlight w:val="white"/>
        </w:rPr>
      </w:pPr>
      <w:r w:rsidRPr="00BA3E18">
        <w:rPr>
          <w:b/>
          <w:bCs/>
          <w:color w:val="auto"/>
          <w:highlight w:val="white"/>
        </w:rPr>
        <w:t>Supplementary</w:t>
      </w:r>
      <w:r w:rsidRPr="00BA3E18">
        <w:rPr>
          <w:b/>
          <w:bCs/>
          <w:highlight w:val="white"/>
        </w:rPr>
        <w:t xml:space="preserve"> Figure S2:</w:t>
      </w:r>
      <w:r>
        <w:rPr>
          <w:b/>
          <w:bCs/>
          <w:highlight w:val="white"/>
        </w:rPr>
        <w:t xml:space="preserve"> </w:t>
      </w:r>
      <w:r w:rsidRPr="00E80E13">
        <w:rPr>
          <w:highlight w:val="white"/>
        </w:rPr>
        <w:t xml:space="preserve">Kidney GSEA results visualization with Cytoscape. All 1151 GO BP terms passing FDR &lt; 0.05 were left and colored by </w:t>
      </w:r>
      <w:r>
        <w:rPr>
          <w:highlight w:val="white"/>
        </w:rPr>
        <w:t>−</w:t>
      </w:r>
      <w:r w:rsidRPr="00E80E13">
        <w:rPr>
          <w:highlight w:val="white"/>
        </w:rPr>
        <w:t>log10(</w:t>
      </w:r>
      <w:r w:rsidRPr="00E80E13">
        <w:rPr>
          <w:rFonts w:eastAsiaTheme="minorEastAsia"/>
          <w:i/>
          <w:iCs/>
          <w:highlight w:val="white"/>
        </w:rPr>
        <w:t>p</w:t>
      </w:r>
      <w:r w:rsidRPr="00E80E13">
        <w:rPr>
          <w:highlight w:val="white"/>
        </w:rPr>
        <w:t xml:space="preserve">-value) with the sign of the NES (blue for the negative enrichments, </w:t>
      </w:r>
      <w:r w:rsidRPr="00BA3E18">
        <w:rPr>
          <w:highlight w:val="white"/>
        </w:rPr>
        <w:t>i.e.,</w:t>
      </w:r>
      <w:r w:rsidRPr="00E80E13">
        <w:rPr>
          <w:highlight w:val="white"/>
        </w:rPr>
        <w:t xml:space="preserve"> genes with log2FC &lt; 0, and orange for positive). GO BP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Gene Ontology Biological Process</w:t>
      </w:r>
      <w:r w:rsidRPr="00E80E13">
        <w:rPr>
          <w:rFonts w:eastAsiaTheme="minorEastAsia" w:hint="eastAsia"/>
          <w:highlight w:val="white"/>
        </w:rPr>
        <w:t>;</w:t>
      </w:r>
      <w:r w:rsidRPr="00E80E13">
        <w:rPr>
          <w:highlight w:val="white"/>
        </w:rPr>
        <w:t xml:space="preserve"> NES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Normalized Enrichment Score</w:t>
      </w:r>
      <w:r w:rsidRPr="00E80E13">
        <w:rPr>
          <w:rFonts w:eastAsiaTheme="minorEastAsia" w:hint="eastAsia"/>
          <w:highlight w:val="white"/>
        </w:rPr>
        <w:t>;</w:t>
      </w:r>
      <w:r w:rsidRPr="00E80E13">
        <w:rPr>
          <w:highlight w:val="white"/>
        </w:rPr>
        <w:t xml:space="preserve"> FDR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False Discovery Rate; FC: Fold Change</w:t>
      </w:r>
      <w:r>
        <w:rPr>
          <w:highlight w:val="white"/>
        </w:rPr>
        <w:t>.</w:t>
      </w:r>
    </w:p>
    <w:p w14:paraId="1655125E" w14:textId="77777777" w:rsidR="00BA3E18" w:rsidRPr="00E80E13" w:rsidRDefault="00BA3E18" w:rsidP="00BA3E18">
      <w:pPr>
        <w:pStyle w:val="TSP52figure"/>
        <w:rPr>
          <w:rFonts w:ascii="Times New Roman" w:hAnsi="Times New Roman"/>
          <w:sz w:val="22"/>
          <w:szCs w:val="22"/>
        </w:rPr>
      </w:pPr>
      <w:r w:rsidRPr="00E80E13">
        <w:rPr>
          <w:lang w:val="ru-RU"/>
        </w:rPr>
        <w:lastRenderedPageBreak/>
        <w:drawing>
          <wp:inline distT="0" distB="0" distL="0" distR="0" wp14:anchorId="70642194" wp14:editId="4C690CC5">
            <wp:extent cx="5944870" cy="4514850"/>
            <wp:effectExtent l="0" t="0" r="0" b="0"/>
            <wp:docPr id="172545798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E5814" w14:textId="2DE4ACA7" w:rsidR="00BA3E18" w:rsidRPr="00E80E13" w:rsidRDefault="00BA3E18" w:rsidP="00BA3E18">
      <w:pPr>
        <w:pStyle w:val="TSP51figurecaption"/>
        <w:rPr>
          <w:highlight w:val="white"/>
        </w:rPr>
      </w:pPr>
      <w:r w:rsidRPr="00BA3E18">
        <w:rPr>
          <w:b/>
          <w:bCs/>
          <w:color w:val="auto"/>
          <w:highlight w:val="white"/>
        </w:rPr>
        <w:t>Supplementary</w:t>
      </w:r>
      <w:r>
        <w:rPr>
          <w:b/>
          <w:bCs/>
          <w:color w:val="auto"/>
          <w:highlight w:val="white"/>
        </w:rPr>
        <w:t xml:space="preserve"> Figure</w:t>
      </w:r>
      <w:r w:rsidRPr="00BA3E18">
        <w:rPr>
          <w:b/>
          <w:bCs/>
          <w:highlight w:val="white"/>
        </w:rPr>
        <w:t xml:space="preserve"> </w:t>
      </w:r>
      <w:r>
        <w:rPr>
          <w:b/>
          <w:bCs/>
          <w:highlight w:val="white"/>
        </w:rPr>
        <w:t>S</w:t>
      </w:r>
      <w:r w:rsidRPr="00BA3E18">
        <w:rPr>
          <w:b/>
          <w:bCs/>
          <w:highlight w:val="white"/>
        </w:rPr>
        <w:t>3:</w:t>
      </w:r>
      <w:r>
        <w:rPr>
          <w:b/>
          <w:bCs/>
          <w:highlight w:val="white"/>
        </w:rPr>
        <w:t xml:space="preserve"> </w:t>
      </w:r>
      <w:r w:rsidRPr="00E80E13">
        <w:rPr>
          <w:highlight w:val="white"/>
        </w:rPr>
        <w:t xml:space="preserve">Liver GSEA results visualization with Cytoscape. All 808 GO BP terms passing FDR &lt; 0.05 were left and colored by </w:t>
      </w:r>
      <w:r w:rsidR="0068160F">
        <w:rPr>
          <w:highlight w:val="white"/>
        </w:rPr>
        <w:t>−</w:t>
      </w:r>
      <w:r w:rsidRPr="00E80E13">
        <w:rPr>
          <w:highlight w:val="white"/>
        </w:rPr>
        <w:t>log10(</w:t>
      </w:r>
      <w:r w:rsidRPr="00E80E13">
        <w:rPr>
          <w:rFonts w:eastAsiaTheme="minorEastAsia"/>
          <w:i/>
          <w:iCs/>
          <w:highlight w:val="white"/>
        </w:rPr>
        <w:t>p</w:t>
      </w:r>
      <w:r w:rsidRPr="00E80E13">
        <w:rPr>
          <w:highlight w:val="white"/>
        </w:rPr>
        <w:t xml:space="preserve">-value) with the sign of the NES (blue for the negative enrichments, </w:t>
      </w:r>
      <w:r w:rsidRPr="00BA3E18">
        <w:rPr>
          <w:highlight w:val="white"/>
        </w:rPr>
        <w:t>i.e.,</w:t>
      </w:r>
      <w:r w:rsidRPr="00E80E13">
        <w:rPr>
          <w:highlight w:val="white"/>
        </w:rPr>
        <w:t xml:space="preserve"> genes with log2FC &lt; 0, and orange for positive). GO BP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Gene Ontology Biological Process</w:t>
      </w:r>
      <w:r w:rsidRPr="00E80E13">
        <w:rPr>
          <w:rFonts w:eastAsiaTheme="minorEastAsia" w:hint="eastAsia"/>
          <w:highlight w:val="white"/>
        </w:rPr>
        <w:t>;</w:t>
      </w:r>
      <w:r w:rsidRPr="00E80E13">
        <w:rPr>
          <w:highlight w:val="white"/>
        </w:rPr>
        <w:t xml:space="preserve"> NES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Normalized Enrichment Score</w:t>
      </w:r>
      <w:r w:rsidRPr="00E80E13">
        <w:rPr>
          <w:rFonts w:eastAsiaTheme="minorEastAsia" w:hint="eastAsia"/>
          <w:highlight w:val="white"/>
        </w:rPr>
        <w:t>;</w:t>
      </w:r>
      <w:r w:rsidRPr="00E80E13">
        <w:rPr>
          <w:highlight w:val="white"/>
        </w:rPr>
        <w:t xml:space="preserve"> FDR</w:t>
      </w:r>
      <w:r w:rsidRPr="00E80E13">
        <w:rPr>
          <w:rFonts w:eastAsiaTheme="minorEastAsia" w:hint="eastAsia"/>
          <w:highlight w:val="white"/>
        </w:rPr>
        <w:t>,</w:t>
      </w:r>
      <w:r w:rsidRPr="00E80E13">
        <w:rPr>
          <w:highlight w:val="white"/>
        </w:rPr>
        <w:t xml:space="preserve"> False Discovery Rate; FC: Fold Change</w:t>
      </w:r>
      <w:r>
        <w:rPr>
          <w:highlight w:val="white"/>
        </w:rPr>
        <w:t>.</w:t>
      </w:r>
    </w:p>
    <w:p w14:paraId="4FDDBF64" w14:textId="77777777" w:rsidR="0068160F" w:rsidRDefault="00BA3E18" w:rsidP="0068160F">
      <w:pPr>
        <w:pStyle w:val="TSP52figure"/>
      </w:pPr>
      <w:r>
        <w:lastRenderedPageBreak/>
        <w:drawing>
          <wp:inline distT="0" distB="0" distL="0" distR="0" wp14:anchorId="751BD1E2" wp14:editId="474FAFA8">
            <wp:extent cx="5944870" cy="58553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585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5CD1E" w14:textId="406EFFCD" w:rsidR="00BA3E18" w:rsidRPr="00E80E13" w:rsidRDefault="0068160F" w:rsidP="0068160F">
      <w:pPr>
        <w:pStyle w:val="TSP51figurecaption"/>
      </w:pPr>
      <w:r w:rsidRPr="00BA3E18">
        <w:rPr>
          <w:b/>
          <w:bCs/>
          <w:color w:val="auto"/>
          <w:highlight w:val="white"/>
        </w:rPr>
        <w:t>Supplementary</w:t>
      </w:r>
      <w:r>
        <w:rPr>
          <w:b/>
          <w:bCs/>
          <w:color w:val="auto"/>
          <w:highlight w:val="white"/>
        </w:rPr>
        <w:t xml:space="preserve"> Figure</w:t>
      </w:r>
      <w:r w:rsidRPr="0068160F">
        <w:rPr>
          <w:b/>
          <w:bCs/>
          <w:color w:val="auto"/>
          <w:highlight w:val="white"/>
        </w:rPr>
        <w:t xml:space="preserve"> </w:t>
      </w:r>
      <w:r>
        <w:rPr>
          <w:b/>
          <w:bCs/>
          <w:color w:val="auto"/>
          <w:highlight w:val="white"/>
        </w:rPr>
        <w:t>S</w:t>
      </w:r>
      <w:r w:rsidRPr="0068160F">
        <w:rPr>
          <w:b/>
          <w:bCs/>
          <w:color w:val="auto"/>
          <w:highlight w:val="white"/>
        </w:rPr>
        <w:t>4:</w:t>
      </w:r>
      <w:r>
        <w:rPr>
          <w:b/>
        </w:rPr>
        <w:t xml:space="preserve"> </w:t>
      </w:r>
      <w:r w:rsidR="00BA3E18" w:rsidRPr="00E80E13">
        <w:t>Western blot analysis of bioenergetic markers in astrocytes, kidney epithelial cells, and hepatic stellate cells under control and serum-deprived conditions. Representative blots and densitometric quantification of Complex IV subunit IV protein levels in astrocytes (</w:t>
      </w:r>
      <w:r w:rsidR="00BA3E18" w:rsidRPr="0068160F">
        <w:rPr>
          <w:b/>
          <w:bCs/>
        </w:rPr>
        <w:t>a</w:t>
      </w:r>
      <w:r w:rsidR="00BA3E18" w:rsidRPr="00E80E13">
        <w:t>), kidney epithelial cells (</w:t>
      </w:r>
      <w:r w:rsidR="00BA3E18" w:rsidRPr="0068160F">
        <w:rPr>
          <w:b/>
          <w:bCs/>
        </w:rPr>
        <w:t>b</w:t>
      </w:r>
      <w:r w:rsidR="00BA3E18" w:rsidRPr="00E80E13">
        <w:t>), and hepatic stellate cells (</w:t>
      </w:r>
      <w:r w:rsidR="00BA3E18" w:rsidRPr="0068160F">
        <w:rPr>
          <w:b/>
          <w:bCs/>
        </w:rPr>
        <w:t>c</w:t>
      </w:r>
      <w:r w:rsidR="00BA3E18" w:rsidRPr="00E80E13">
        <w:t>). Representative blots and densitometric quantification of GAPDH protein levels in astrocytes (</w:t>
      </w:r>
      <w:r w:rsidR="00BA3E18" w:rsidRPr="0068160F">
        <w:rPr>
          <w:b/>
          <w:bCs/>
        </w:rPr>
        <w:t>d</w:t>
      </w:r>
      <w:r w:rsidR="00BA3E18" w:rsidRPr="00E80E13">
        <w:t>), kidney epithelial cells (</w:t>
      </w:r>
      <w:r w:rsidR="00BA3E18" w:rsidRPr="0068160F">
        <w:rPr>
          <w:b/>
          <w:bCs/>
        </w:rPr>
        <w:t>e</w:t>
      </w:r>
      <w:r w:rsidR="00BA3E18" w:rsidRPr="00E80E13">
        <w:t>), and hepatic stellate cells (</w:t>
      </w:r>
      <w:r w:rsidR="00BA3E18" w:rsidRPr="0068160F">
        <w:rPr>
          <w:b/>
          <w:bCs/>
        </w:rPr>
        <w:t>f</w:t>
      </w:r>
      <w:r w:rsidR="00BA3E18" w:rsidRPr="00E80E13">
        <w:t xml:space="preserve">). Data are presented as mean ± SEM. Unpaired Student's </w:t>
      </w:r>
      <w:r w:rsidR="00BA3E18" w:rsidRPr="0068160F">
        <w:rPr>
          <w:i/>
          <w:iCs/>
        </w:rPr>
        <w:t>t</w:t>
      </w:r>
      <w:r w:rsidR="00BA3E18" w:rsidRPr="00E80E13">
        <w:t>-test; *</w:t>
      </w:r>
      <w:r w:rsidR="00BA3E18" w:rsidRPr="009101B1">
        <w:rPr>
          <w:i/>
          <w:iCs/>
        </w:rPr>
        <w:t>p</w:t>
      </w:r>
      <w:r w:rsidR="00BA3E18" w:rsidRPr="00E80E13">
        <w:t xml:space="preserve"> &lt; 0.05</w:t>
      </w:r>
      <w:r>
        <w:t>.</w:t>
      </w:r>
    </w:p>
    <w:p w14:paraId="494AB963" w14:textId="77777777" w:rsidR="00BA3E18" w:rsidRPr="00E80E13" w:rsidRDefault="00BA3E18" w:rsidP="0068160F">
      <w:pPr>
        <w:pStyle w:val="TSP52figure"/>
        <w:rPr>
          <w:highlight w:val="white"/>
        </w:rPr>
      </w:pPr>
      <w:r w:rsidRPr="00E80E13">
        <w:rPr>
          <w:lang w:val="ru-RU"/>
        </w:rPr>
        <w:lastRenderedPageBreak/>
        <w:drawing>
          <wp:inline distT="0" distB="0" distL="0" distR="0" wp14:anchorId="571290E1" wp14:editId="7E4CE133">
            <wp:extent cx="5123588" cy="5476298"/>
            <wp:effectExtent l="0" t="0" r="1270" b="0"/>
            <wp:docPr id="2068474991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3588" cy="54762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BF5915" w14:textId="24054FC5" w:rsidR="005258B8" w:rsidRPr="00BA3E18" w:rsidRDefault="0068160F" w:rsidP="0068160F">
      <w:pPr>
        <w:pStyle w:val="TSP51figurecaption"/>
      </w:pPr>
      <w:r w:rsidRPr="00BA3E18">
        <w:rPr>
          <w:b/>
          <w:bCs/>
          <w:color w:val="auto"/>
          <w:highlight w:val="white"/>
        </w:rPr>
        <w:t>Supplementary</w:t>
      </w:r>
      <w:r w:rsidRPr="0068160F">
        <w:rPr>
          <w:b/>
          <w:bCs/>
          <w:highlight w:val="white"/>
        </w:rPr>
        <w:t xml:space="preserve"> Figure S5:</w:t>
      </w:r>
      <w:r>
        <w:rPr>
          <w:b/>
          <w:bCs/>
          <w:highlight w:val="white"/>
        </w:rPr>
        <w:t xml:space="preserve"> </w:t>
      </w:r>
      <w:r w:rsidR="00BA3E18" w:rsidRPr="00E80E13">
        <w:rPr>
          <w:highlight w:val="white"/>
        </w:rPr>
        <w:t>The effect of fumarate on the viability of astrocytes, kidney epithelial cells, and hepatic stellate cells under normal and serum-deprived conditions (data expressed as % of control, mean ± SEM). Cell viability under normal conditions (</w:t>
      </w:r>
      <w:r w:rsidR="00BA3E18" w:rsidRPr="0068160F">
        <w:rPr>
          <w:b/>
          <w:bCs/>
          <w:highlight w:val="white"/>
        </w:rPr>
        <w:t>a</w:t>
      </w:r>
      <w:r>
        <w:rPr>
          <w:highlight w:val="white"/>
        </w:rPr>
        <w:t>–</w:t>
      </w:r>
      <w:r w:rsidR="00BA3E18" w:rsidRPr="0068160F">
        <w:rPr>
          <w:b/>
          <w:bCs/>
          <w:highlight w:val="white"/>
        </w:rPr>
        <w:t>c</w:t>
      </w:r>
      <w:r w:rsidR="00BA3E18" w:rsidRPr="00E80E13">
        <w:rPr>
          <w:highlight w:val="white"/>
        </w:rPr>
        <w:t>) and after serum deprivation (</w:t>
      </w:r>
      <w:r w:rsidR="00BA3E18" w:rsidRPr="0068160F">
        <w:rPr>
          <w:b/>
          <w:bCs/>
          <w:highlight w:val="white"/>
        </w:rPr>
        <w:t>d</w:t>
      </w:r>
      <w:r>
        <w:rPr>
          <w:highlight w:val="white"/>
        </w:rPr>
        <w:t>–</w:t>
      </w:r>
      <w:r w:rsidR="00BA3E18" w:rsidRPr="0068160F">
        <w:rPr>
          <w:b/>
          <w:bCs/>
          <w:highlight w:val="white"/>
        </w:rPr>
        <w:t>f</w:t>
      </w:r>
      <w:r w:rsidR="00BA3E18" w:rsidRPr="00E80E13">
        <w:rPr>
          <w:highlight w:val="white"/>
        </w:rPr>
        <w:t>) was assessed by MTT assay after 48 hours of incubation in the appropriate medium. One-way ANOVA with post-hoc Tukey's multiple comparisons test; *</w:t>
      </w:r>
      <w:r w:rsidR="00BA3E18" w:rsidRPr="00E80E13">
        <w:rPr>
          <w:i/>
          <w:iCs/>
          <w:highlight w:val="white"/>
        </w:rPr>
        <w:t>p</w:t>
      </w:r>
      <w:r w:rsidR="00BA3E18" w:rsidRPr="00E80E13">
        <w:rPr>
          <w:highlight w:val="white"/>
        </w:rPr>
        <w:t xml:space="preserve"> &lt; 0.05, **</w:t>
      </w:r>
      <w:r w:rsidR="00BA3E18" w:rsidRPr="00E80E13">
        <w:rPr>
          <w:i/>
          <w:iCs/>
          <w:highlight w:val="white"/>
        </w:rPr>
        <w:t>p</w:t>
      </w:r>
      <w:r w:rsidR="00BA3E18" w:rsidRPr="00E80E13">
        <w:rPr>
          <w:highlight w:val="white"/>
        </w:rPr>
        <w:t xml:space="preserve"> &lt; 0.01, ****</w:t>
      </w:r>
      <w:r w:rsidR="00BA3E18" w:rsidRPr="00E80E13">
        <w:rPr>
          <w:i/>
          <w:iCs/>
          <w:highlight w:val="white"/>
        </w:rPr>
        <w:t>p</w:t>
      </w:r>
      <w:r w:rsidR="00BA3E18" w:rsidRPr="00E80E13">
        <w:rPr>
          <w:highlight w:val="white"/>
        </w:rPr>
        <w:t xml:space="preserve"> &lt; 0.0001 relative to the control group under normal conditions without fumarate; </w:t>
      </w:r>
      <w:r w:rsidR="00BA3E18" w:rsidRPr="0068160F">
        <w:rPr>
          <w:highlight w:val="white"/>
          <w:vertAlign w:val="superscript"/>
        </w:rPr>
        <w:t>#</w:t>
      </w:r>
      <w:r w:rsidR="00BA3E18" w:rsidRPr="00E80E13">
        <w:rPr>
          <w:i/>
          <w:iCs/>
          <w:highlight w:val="white"/>
        </w:rPr>
        <w:t>p</w:t>
      </w:r>
      <w:r w:rsidR="00BA3E18" w:rsidRPr="00E80E13">
        <w:rPr>
          <w:highlight w:val="white"/>
        </w:rPr>
        <w:t xml:space="preserve"> &lt; 0.05, </w:t>
      </w:r>
      <w:r w:rsidR="00BA3E18" w:rsidRPr="0068160F">
        <w:rPr>
          <w:highlight w:val="white"/>
          <w:vertAlign w:val="superscript"/>
        </w:rPr>
        <w:t>###</w:t>
      </w:r>
      <w:r w:rsidR="00BA3E18" w:rsidRPr="00E80E13">
        <w:rPr>
          <w:i/>
          <w:iCs/>
          <w:highlight w:val="white"/>
        </w:rPr>
        <w:t>p</w:t>
      </w:r>
      <w:r w:rsidR="00BA3E18" w:rsidRPr="00E80E13">
        <w:rPr>
          <w:highlight w:val="white"/>
        </w:rPr>
        <w:t xml:space="preserve"> &lt; 0.001, </w:t>
      </w:r>
      <w:r w:rsidR="00BA3E18" w:rsidRPr="0068160F">
        <w:rPr>
          <w:highlight w:val="white"/>
          <w:vertAlign w:val="superscript"/>
        </w:rPr>
        <w:t>####</w:t>
      </w:r>
      <w:r w:rsidR="00BA3E18" w:rsidRPr="00E80E13">
        <w:rPr>
          <w:i/>
          <w:iCs/>
          <w:highlight w:val="white"/>
        </w:rPr>
        <w:t xml:space="preserve">p </w:t>
      </w:r>
      <w:r w:rsidR="00BA3E18" w:rsidRPr="00E80E13">
        <w:rPr>
          <w:highlight w:val="white"/>
        </w:rPr>
        <w:t>&lt; 0.0001 relative to the control group under serum-deprived conditions without fumarate</w:t>
      </w:r>
      <w:r>
        <w:rPr>
          <w:highlight w:val="white"/>
        </w:rPr>
        <w:t>.</w:t>
      </w:r>
    </w:p>
    <w:sectPr w:rsidR="005258B8" w:rsidRPr="00BA3E18" w:rsidSect="00BA3E18">
      <w:headerReference w:type="even" r:id="rId10"/>
      <w:headerReference w:type="default" r:id="rId11"/>
      <w:headerReference w:type="first" r:id="rId12"/>
      <w:footerReference w:type="first" r:id="rId13"/>
      <w:pgSz w:w="12242" w:h="15842" w:code="1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DD255" w14:textId="77777777" w:rsidR="00BA3E18" w:rsidRPr="00375B4C" w:rsidRDefault="00BA3E18" w:rsidP="00640712">
    <w:pPr>
      <w:spacing w:before="240" w:line="100" w:lineRule="exact"/>
      <w:jc w:val="left"/>
      <w:rPr>
        <w:sz w:val="16"/>
        <w:szCs w:val="16"/>
      </w:rPr>
    </w:pPr>
  </w:p>
  <w:tbl>
    <w:tblPr>
      <w:tblW w:w="9361" w:type="dxa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93"/>
      <w:gridCol w:w="7768"/>
    </w:tblGrid>
    <w:tr w:rsidR="00BA3E18" w:rsidRPr="00375B4C" w14:paraId="50BFEE9F" w14:textId="77777777" w:rsidTr="00B70391">
      <w:trPr>
        <w:trHeight w:hRule="exact" w:val="595"/>
        <w:jc w:val="center"/>
      </w:trPr>
      <w:tc>
        <w:tcPr>
          <w:tcW w:w="1594" w:type="dxa"/>
          <w:vAlign w:val="center"/>
        </w:tcPr>
        <w:p w14:paraId="073AEC56" w14:textId="77777777" w:rsidR="00BA3E18" w:rsidRPr="00375B4C" w:rsidRDefault="00BA3E18" w:rsidP="00F14FB5">
          <w:pPr>
            <w:pStyle w:val="TSP73CopyrightImage"/>
            <w:rPr>
              <w:lang w:bidi="en-US"/>
            </w:rPr>
          </w:pPr>
          <w:r w:rsidRPr="00375B4C">
            <w:rPr>
              <w:noProof/>
              <w:lang w:val="ru-RU" w:eastAsia="ru-RU"/>
            </w:rPr>
            <w:drawing>
              <wp:inline distT="0" distB="0" distL="0" distR="0" wp14:anchorId="1E089E85" wp14:editId="4BB62098">
                <wp:extent cx="1000125" cy="361950"/>
                <wp:effectExtent l="0" t="0" r="9525" b="0"/>
                <wp:docPr id="1653046361" name="图片 4" descr="copyRigh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图片 7" descr="copyRigh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07" w:type="dxa"/>
          <w:tcMar>
            <w:left w:w="57" w:type="dxa"/>
          </w:tcMar>
          <w:vAlign w:val="center"/>
        </w:tcPr>
        <w:p w14:paraId="7A895078" w14:textId="77777777" w:rsidR="00BA3E18" w:rsidRPr="006564E2" w:rsidRDefault="00BA3E18" w:rsidP="00673B6B">
          <w:pPr>
            <w:pStyle w:val="TSP72Copyright"/>
            <w:rPr>
              <w:lang w:bidi="en-US"/>
            </w:rPr>
          </w:pPr>
          <w:r w:rsidRPr="006564E2">
            <w:rPr>
              <w:lang w:bidi="en-US"/>
            </w:rPr>
            <w:t>Copyright © 202</w:t>
          </w:r>
          <w:r w:rsidRPr="00F30CAC">
            <w:rPr>
              <w:lang w:val="en-US" w:bidi="en-US"/>
            </w:rPr>
            <w:t>6</w:t>
          </w:r>
          <w:r w:rsidRPr="006564E2">
            <w:rPr>
              <w:lang w:bidi="en-US"/>
            </w:rPr>
            <w:t xml:space="preserve"> The Author(s). Published by Tech Science Press.</w:t>
          </w:r>
        </w:p>
        <w:p w14:paraId="00E0F266" w14:textId="77777777" w:rsidR="00BA3E18" w:rsidRPr="00375B4C" w:rsidRDefault="00BA3E18" w:rsidP="00673B6B">
          <w:pPr>
            <w:pStyle w:val="TSP72Copyright"/>
            <w:rPr>
              <w:bCs/>
              <w:lang w:bidi="en-US"/>
            </w:rPr>
          </w:pPr>
          <w:r w:rsidRPr="006564E2">
            <w:rPr>
              <w:lang w:bidi="en-US"/>
            </w:rPr>
            <w:t>This work is licensed under a Creative Commons Attribution 4.0 International License, which permits unrestricted use, distribution, and reproduction in any medium, provided the original work is properly cited.</w:t>
          </w:r>
        </w:p>
      </w:tc>
    </w:tr>
  </w:tbl>
  <w:p w14:paraId="6E32331C" w14:textId="77777777" w:rsidR="00BA3E18" w:rsidRDefault="00BA3E18" w:rsidP="007F1339">
    <w:pPr>
      <w:pStyle w:val="Footer"/>
      <w:spacing w:line="192" w:lineRule="auto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85D15" w14:textId="77777777" w:rsidR="00BA3E18" w:rsidRPr="00724867" w:rsidRDefault="00BA3E18" w:rsidP="00724867">
    <w:pPr>
      <w:pStyle w:val="TSPheader"/>
      <w:rPr>
        <w:rFonts w:eastAsiaTheme="minorEastAsia"/>
        <w:lang w:eastAsia="zh-CN"/>
      </w:rPr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rPr>
        <w:noProof/>
      </w:rPr>
      <w:t>46</w:t>
    </w:r>
    <w:r w:rsidRPr="00661AA8">
      <w:fldChar w:fldCharType="end"/>
    </w:r>
    <w:r>
      <w:ptab w:relativeTo="margin" w:alignment="right" w:leader="none"/>
    </w:r>
    <w:r w:rsidRPr="0093179D">
      <w:t>BIOCELL</w:t>
    </w:r>
    <w:r>
      <w:t>.</w:t>
    </w:r>
    <w:r w:rsidRPr="00900A21">
      <w:t xml:space="preserve"> </w:t>
    </w:r>
    <w:proofErr w:type="gramStart"/>
    <w:r w:rsidRPr="00900A21">
      <w:t>202</w:t>
    </w:r>
    <w:r>
      <w:rPr>
        <w:rFonts w:eastAsiaTheme="minorEastAsia"/>
        <w:lang w:val="ru-RU" w:eastAsia="zh-CN"/>
      </w:rPr>
      <w:t>6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issue)</w:t>
    </w:r>
  </w:p>
  <w:p w14:paraId="4CC7DCB3" w14:textId="77777777" w:rsidR="00BA3E18" w:rsidRDefault="00BA3E18" w:rsidP="00724867">
    <w:pPr>
      <w:pStyle w:val="Header"/>
      <w:pBdr>
        <w:bottom w:val="none" w:sz="0" w:space="0" w:color="auto"/>
      </w:pBdr>
      <w:spacing w:after="240" w:line="100" w:lineRule="atLeast"/>
      <w:jc w:val="both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D3992" w14:textId="77777777" w:rsidR="00BA3E18" w:rsidRDefault="00BA3E18" w:rsidP="00673B6B">
    <w:pPr>
      <w:pStyle w:val="TSPheader"/>
    </w:pPr>
    <w:r w:rsidRPr="0093179D">
      <w:t>BIOCELL</w:t>
    </w:r>
    <w:r>
      <w:t>.</w:t>
    </w:r>
    <w:r w:rsidRPr="00900A21">
      <w:t xml:space="preserve"> </w:t>
    </w:r>
    <w:proofErr w:type="gramStart"/>
    <w:r w:rsidRPr="00900A21">
      <w:t>202</w:t>
    </w:r>
    <w:r>
      <w:rPr>
        <w:rFonts w:eastAsiaTheme="minorEastAsia"/>
        <w:lang w:val="ru-RU" w:eastAsia="zh-CN"/>
      </w:rPr>
      <w:t>6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issue)</w:t>
    </w:r>
    <w:r>
      <w:ptab w:relativeTo="margin" w:alignment="right" w:leader="none"/>
    </w: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rPr>
        <w:noProof/>
      </w:rPr>
      <w:t>45</w:t>
    </w:r>
    <w:r w:rsidRPr="00661AA8">
      <w:fldChar w:fldCharType="end"/>
    </w:r>
  </w:p>
  <w:p w14:paraId="40167CB1" w14:textId="77777777" w:rsidR="00BA3E18" w:rsidRPr="00661AA8" w:rsidRDefault="00BA3E18" w:rsidP="00640712">
    <w:pPr>
      <w:tabs>
        <w:tab w:val="left" w:pos="8335"/>
      </w:tabs>
      <w:spacing w:after="240" w:line="100" w:lineRule="atLeas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70"/>
      <w:gridCol w:w="2762"/>
      <w:gridCol w:w="3229"/>
    </w:tblGrid>
    <w:tr w:rsidR="00BA3E18" w14:paraId="3487754F" w14:textId="77777777" w:rsidTr="00C34E4B">
      <w:trPr>
        <w:cantSplit/>
        <w:trHeight w:val="567"/>
      </w:trPr>
      <w:tc>
        <w:tcPr>
          <w:tcW w:w="3591" w:type="dxa"/>
          <w:vAlign w:val="center"/>
        </w:tcPr>
        <w:p w14:paraId="3EF33CD6" w14:textId="77777777" w:rsidR="00BA3E18" w:rsidRDefault="00BA3E18" w:rsidP="00C34E4B">
          <w:pPr>
            <w:pStyle w:val="TSPheaderjournallogo"/>
          </w:pPr>
          <w:r>
            <w:rPr>
              <w:noProof/>
              <w:lang w:val="ru-RU" w:eastAsia="ru-RU"/>
            </w:rPr>
            <w:drawing>
              <wp:inline distT="0" distB="0" distL="0" distR="0" wp14:anchorId="0319E240" wp14:editId="1309730A">
                <wp:extent cx="1673741" cy="412393"/>
                <wp:effectExtent l="0" t="0" r="0" b="6985"/>
                <wp:docPr id="166005451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0054510" name="图片 1"/>
                        <pic:cNvPicPr/>
                      </pic:nvPicPr>
                      <pic:blipFill>
                        <a:blip r:embed="rId1"/>
                        <a:srcRect l="1397" r="139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73741" cy="41239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1471C5AC" w14:textId="77777777" w:rsidR="00BA3E18" w:rsidRDefault="00BA3E18" w:rsidP="00776E78">
          <w:pPr>
            <w:jc w:val="center"/>
          </w:pPr>
        </w:p>
      </w:tc>
      <w:tc>
        <w:tcPr>
          <w:tcW w:w="3591" w:type="dxa"/>
          <w:vAlign w:val="center"/>
        </w:tcPr>
        <w:p w14:paraId="6BB9087C" w14:textId="77777777" w:rsidR="00BA3E18" w:rsidRDefault="00BA3E18" w:rsidP="00C34E4B">
          <w:pPr>
            <w:pStyle w:val="TSPheadertsplogo"/>
          </w:pPr>
          <w:r>
            <w:rPr>
              <w:noProof/>
              <w:lang w:val="ru-RU" w:eastAsia="ru-RU"/>
            </w:rPr>
            <w:drawing>
              <wp:inline distT="0" distB="0" distL="0" distR="0" wp14:anchorId="6C8F0C8A" wp14:editId="46E10D08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BAC1FB4" w14:textId="77777777" w:rsidR="00BA3E18" w:rsidRPr="00776E78" w:rsidRDefault="00BA3E18" w:rsidP="00776E78">
    <w:pPr>
      <w:pStyle w:val="Header"/>
      <w:spacing w:line="6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FE8E11CA"/>
    <w:lvl w:ilvl="0" w:tplc="A49EC06A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1200D9A2"/>
    <w:lvl w:ilvl="0" w:tplc="D7BE175E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70012E46"/>
    <w:multiLevelType w:val="hybridMultilevel"/>
    <w:tmpl w:val="C3EA73AE"/>
    <w:lvl w:ilvl="0" w:tplc="C72A5312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11A3B"/>
    <w:multiLevelType w:val="hybridMultilevel"/>
    <w:tmpl w:val="4BE4E33C"/>
    <w:lvl w:ilvl="0" w:tplc="BF1C3664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4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3"/>
  </w:num>
  <w:num w:numId="5" w16cid:durableId="504057375">
    <w:abstractNumId w:val="2"/>
  </w:num>
  <w:num w:numId="6" w16cid:durableId="1959336976">
    <w:abstractNumId w:val="4"/>
  </w:num>
  <w:num w:numId="7" w16cid:durableId="229580920">
    <w:abstractNumId w:val="0"/>
  </w:num>
  <w:num w:numId="8" w16cid:durableId="502748113">
    <w:abstractNumId w:val="1"/>
  </w:num>
  <w:num w:numId="9" w16cid:durableId="1222593166">
    <w:abstractNumId w:val="3"/>
  </w:num>
  <w:num w:numId="10" w16cid:durableId="6810558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drawingGridHorizontalSpacing w:val="110"/>
  <w:drawingGridVerticalSpacing w:val="163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4E8C"/>
    <w:rsid w:val="000C1CDB"/>
    <w:rsid w:val="001118FB"/>
    <w:rsid w:val="00167D48"/>
    <w:rsid w:val="00315C91"/>
    <w:rsid w:val="00425DE1"/>
    <w:rsid w:val="0042613F"/>
    <w:rsid w:val="005258B8"/>
    <w:rsid w:val="005C0944"/>
    <w:rsid w:val="0068160F"/>
    <w:rsid w:val="00714041"/>
    <w:rsid w:val="007327FE"/>
    <w:rsid w:val="007D2656"/>
    <w:rsid w:val="008A305C"/>
    <w:rsid w:val="00937749"/>
    <w:rsid w:val="00952D5C"/>
    <w:rsid w:val="00A051D8"/>
    <w:rsid w:val="00BA3E18"/>
    <w:rsid w:val="00C94E8C"/>
    <w:rsid w:val="00D14399"/>
    <w:rsid w:val="00D25790"/>
    <w:rsid w:val="00D30F0B"/>
    <w:rsid w:val="00DE58B5"/>
    <w:rsid w:val="00E43258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F5F5A82"/>
  <w15:chartTrackingRefBased/>
  <w15:docId w15:val="{45A08481-4AC8-4769-B84C-DFC00B2785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0F4761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BA3E18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BA3E18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BA3E18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BA3E18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BA3E18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BA3E18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BA3E18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BA3E1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BA3E18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BA3E18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BA3E18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BA3E18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BA3E18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BA3E18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BA3E18"/>
    <w:pPr>
      <w:outlineLvl w:val="3"/>
    </w:pPr>
    <w:rPr>
      <w:i w:val="0"/>
    </w:rPr>
  </w:style>
  <w:style w:type="paragraph" w:customStyle="1" w:styleId="TSP31text">
    <w:name w:val="TSP_3.1_text"/>
    <w:qFormat/>
    <w:rsid w:val="00BA3E18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BA3E18"/>
    <w:pPr>
      <w:ind w:firstLine="0"/>
    </w:pPr>
  </w:style>
  <w:style w:type="paragraph" w:customStyle="1" w:styleId="TSP33textspaceafter">
    <w:name w:val="TSP_3.3_text_space_after"/>
    <w:qFormat/>
    <w:rsid w:val="00BA3E18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BA3E18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BA3E18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BA3E18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BA3E18"/>
    <w:pPr>
      <w:numPr>
        <w:numId w:val="6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BA3E18"/>
    <w:pPr>
      <w:numPr>
        <w:numId w:val="7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BA3E18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BA3E18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BA3E18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BA3E18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BA3E18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BA3E18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BA3E18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BA3E18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BA3E18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BA3E18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BA3E18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BA3E18"/>
    <w:pPr>
      <w:numPr>
        <w:numId w:val="10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BA3E18"/>
    <w:pPr>
      <w:numPr>
        <w:numId w:val="9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BA3E18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BA3E18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BA3E1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BA3E1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BA3E18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BA3E18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BA3E18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BA3E18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BA3E18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BA3E18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BA3E18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BA3E1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BA3E18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0F4761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header" Target="header2.xml"/><Relationship Id="rId5" Type="http://schemas.openxmlformats.org/officeDocument/2006/relationships/image" Target="media/image1.tiff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364</Words>
  <Characters>2078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Science Press</dc:creator>
  <cp:keywords/>
  <dc:description/>
  <cp:lastModifiedBy>Tech Science Press</cp:lastModifiedBy>
  <cp:revision>2</cp:revision>
  <dcterms:created xsi:type="dcterms:W3CDTF">2026-03-18T02:36:00Z</dcterms:created>
  <dcterms:modified xsi:type="dcterms:W3CDTF">2026-03-18T02:44:00Z</dcterms:modified>
</cp:coreProperties>
</file>